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Жилой дом со встроено-пристроенными помещениями общественного назначения и подземной автостоянкой расположенный по адресу: г. Пермь, Ленинский район, ж/р-н Центр, ул. Окулова, 18, квартал № 6 </w:t>
      </w:r>
    </w:p>
    <w:p>
      <w:pPr>
        <w:pStyle w:val="Normal"/>
        <w:rPr/>
      </w:pPr>
      <w:r>
        <w:rPr/>
      </w:r>
    </w:p>
    <w:p>
      <w:pPr>
        <w:pStyle w:val="Normal"/>
        <w:rPr/>
      </w:pPr>
      <w:r>
        <w:rPr/>
        <w:t>1. Информация о Застройщике</w:t>
      </w:r>
    </w:p>
    <w:p>
      <w:pPr>
        <w:pStyle w:val="Normal"/>
        <w:rPr/>
      </w:pPr>
      <w:r>
        <w:rPr/>
      </w:r>
    </w:p>
    <w:p>
      <w:pPr>
        <w:pStyle w:val="Normal"/>
        <w:rPr/>
      </w:pPr>
      <w:r>
        <w:rPr/>
        <w:t>1.1. Застройщик - Общество с ограниченной ответственностью «Сатурн-Р» сокращенное название ООО «Сатурн-Р» Директор: Санников Андрей Кельсиевич адрес: 614000, г. Пермь, ул. Куйбышева, д. 37 режим работы: 9.00-18.00 (выходные дни: суббота, воскресенье).</w:t>
      </w:r>
    </w:p>
    <w:p>
      <w:pPr>
        <w:pStyle w:val="Normal"/>
        <w:rPr/>
      </w:pPr>
      <w:r>
        <w:rPr/>
      </w:r>
    </w:p>
    <w:p>
      <w:pPr>
        <w:pStyle w:val="Normal"/>
        <w:rPr/>
      </w:pPr>
      <w:r>
        <w:rPr/>
        <w:t>1.2. Свидетельство: Общество с ограниченной ответственностью «Сатурн-Р» зарегистрировано Администрацией Ленинского района г. Перми 20.08.1999 г. и выдано Свидетельство № 4412 серия ООО о государственной регистрации юридического лица. В соответствии с Федеральным законом « О государственной регистрации юридических лиц» в Единый государственный реестр юридических лиц внесена запись о юридическом лице Общество с ограниченной ответственностью «Сатурн-Р» за основным государственном регистрационным номером 1025900510437 от 04.09.2002 г. и выдано Свидетельство о внесении записи в Единый государственный реестр юридических лиц о юридическом лице, зарегистрированном до 1 июля 2002 года серия 59 № 001731090. Идентификационный номер налогоплательщика 5902809279.</w:t>
      </w:r>
    </w:p>
    <w:p>
      <w:pPr>
        <w:pStyle w:val="Normal"/>
        <w:rPr/>
      </w:pPr>
      <w:r>
        <w:rPr/>
      </w:r>
    </w:p>
    <w:p>
      <w:pPr>
        <w:pStyle w:val="Normal"/>
        <w:rPr/>
      </w:pPr>
      <w:r>
        <w:rPr/>
        <w:t>1.3. Учредитель застройщика: Единственным учредителем ООО «Сатурн-Р» является гражданин Российской Федерации Репин Александр Анатольевич.</w:t>
      </w:r>
    </w:p>
    <w:p>
      <w:pPr>
        <w:pStyle w:val="Normal"/>
        <w:rPr/>
      </w:pPr>
      <w:r>
        <w:rPr/>
      </w:r>
    </w:p>
    <w:p>
      <w:pPr>
        <w:pStyle w:val="Normal"/>
        <w:rPr/>
      </w:pPr>
      <w:r>
        <w:rPr/>
        <w:t>1.4. За последние три года ООО «Сатурн-Р» построены и сданы объекты по следующим адресам: ш. Космонавтов 316 г, ул. Лебедева 34, б-р Гагарина 46, ул. Куйбышева 37, б-р Гагарина 26, ул. Подлесная 47а, ул. Плеханова 70а.</w:t>
      </w:r>
    </w:p>
    <w:p>
      <w:pPr>
        <w:pStyle w:val="Normal"/>
        <w:rPr/>
      </w:pPr>
      <w:r>
        <w:rPr/>
      </w:r>
    </w:p>
    <w:p>
      <w:pPr>
        <w:pStyle w:val="Normal"/>
        <w:rPr/>
      </w:pPr>
      <w:r>
        <w:rPr/>
        <w:t>1.5. Лицензии</w:t>
      </w:r>
    </w:p>
    <w:p>
      <w:pPr>
        <w:pStyle w:val="Normal"/>
        <w:rPr/>
      </w:pPr>
      <w:r>
        <w:rPr/>
      </w:r>
    </w:p>
    <w:p>
      <w:pPr>
        <w:pStyle w:val="Normal"/>
        <w:rPr/>
      </w:pPr>
      <w:r>
        <w:rPr/>
        <w:t>- Лицензия ГС-4-59-02-27-0-5902809279-002776-1, выдана Государственным комитетом Российской Федерации по строительству и жилищно-коммунальному комплексу от 06.02.2003 г. Строительство зданий и сооружений I и II уровня ответственности в соответствии с государственным стандартом на территории Российской Федерации.</w:t>
      </w:r>
    </w:p>
    <w:p>
      <w:pPr>
        <w:pStyle w:val="Normal"/>
        <w:rPr/>
      </w:pPr>
      <w:r>
        <w:rPr/>
      </w:r>
    </w:p>
    <w:p>
      <w:pPr>
        <w:pStyle w:val="Normal"/>
        <w:rPr/>
      </w:pPr>
      <w:r>
        <w:rPr/>
        <w:t>- Лицензия ГС-4-59-02-27-0-5902809279-003557-1, выдана Государственным комитетом Российской Федерации по строительству и жилищно-коммунальному комплексу от 03.07.2003 г. Строительство зданий и сооружений I и II уровней ответственности в соответствии с государственным стандартом. Осуществление функций генерального подрядчика.</w:t>
      </w:r>
    </w:p>
    <w:p>
      <w:pPr>
        <w:pStyle w:val="Normal"/>
        <w:rPr/>
      </w:pPr>
      <w:r>
        <w:rPr/>
      </w:r>
    </w:p>
    <w:p>
      <w:pPr>
        <w:pStyle w:val="Normal"/>
        <w:rPr/>
      </w:pPr>
      <w:r>
        <w:rPr/>
        <w:t>- Приложение ГС-4-59-02-27-0-5902809279-004826-1 (к лицензии ГС-4-59-02-27-0-5902809279-003557-1), приказ Федерального агентства по строительству и жилищно-коммунальному комплексу от 07.07.2004 г. Строительство зданий и сооружений I и II уровней ответственности в соответствии с государственным стандартом. Выполнение функций заказчика-застройщика.</w:t>
      </w:r>
    </w:p>
    <w:p>
      <w:pPr>
        <w:pStyle w:val="Normal"/>
        <w:rPr/>
      </w:pPr>
      <w:r>
        <w:rPr/>
      </w:r>
    </w:p>
    <w:p>
      <w:pPr>
        <w:pStyle w:val="Normal"/>
        <w:rPr/>
      </w:pPr>
      <w:r>
        <w:rPr/>
        <w:t>- Приложение ГС-4-59-02-27-0-5902809279-006190-1 (к лицензии ГС-4-59-02-27-0-5902809279-003557-1), приказ Федерального агентства по строительству и жилищно-коммунальному комплексу от 06.06.2005 г. Строительство зданий и сооружений I и II уровней ответственности в соответствии с государственным стандартом.</w:t>
      </w:r>
    </w:p>
    <w:p>
      <w:pPr>
        <w:pStyle w:val="Normal"/>
        <w:rPr/>
      </w:pPr>
      <w:r>
        <w:rPr/>
      </w:r>
    </w:p>
    <w:p>
      <w:pPr>
        <w:pStyle w:val="Normal"/>
        <w:rPr/>
      </w:pPr>
      <w:r>
        <w:rPr/>
        <w:t>- Лицензия ГС-4-59-02-26-0-5902809279-005462-1, выдана Федеральным агентством по строительству и жилищно-коммунальному хозяйству от 20.12.2004 г. Проектирование зданий и сооружений I и II уровня ответственности в соответствии с государственным стандартом. Осуществление функций генерального проектировщика.</w:t>
      </w:r>
    </w:p>
    <w:p>
      <w:pPr>
        <w:pStyle w:val="Normal"/>
        <w:rPr/>
      </w:pPr>
      <w:r>
        <w:rPr/>
      </w:r>
    </w:p>
    <w:p>
      <w:pPr>
        <w:pStyle w:val="Normal"/>
        <w:rPr/>
      </w:pPr>
      <w:r>
        <w:rPr/>
        <w:t>1.6. По итогам 2006 г. собственные средства Застройщика- 879 820 000 рублей. Финансовый результат за 2006 г. – 64 570 000 рублей. Кредиторская задолженность – 181 000 000 рублей. Сумма денежных средств на расчетных счетах – 17 241 813 рублей.</w:t>
      </w:r>
    </w:p>
    <w:p>
      <w:pPr>
        <w:pStyle w:val="Normal"/>
        <w:rPr/>
      </w:pPr>
      <w:r>
        <w:rPr/>
      </w:r>
    </w:p>
    <w:p>
      <w:pPr>
        <w:pStyle w:val="Normal"/>
        <w:rPr/>
      </w:pPr>
      <w:r>
        <w:rPr/>
        <w:t>2. Информация о проекте строительства</w:t>
      </w:r>
    </w:p>
    <w:p>
      <w:pPr>
        <w:pStyle w:val="Normal"/>
        <w:rPr/>
      </w:pPr>
      <w:r>
        <w:rPr/>
      </w:r>
    </w:p>
    <w:p>
      <w:pPr>
        <w:pStyle w:val="Normal"/>
        <w:rPr/>
      </w:pPr>
      <w:r>
        <w:rPr/>
        <w:t>2.1. Цель проекта строительства: Строительство и ввод в эксплуатацию 25- этажного, двухсекционного жилого дома с встроено-пристроенными помещениями общественного назначения на первом и втором этажах и подземной двухуровневой автостоянкой. Ввод в эксплуатацию предполагается во 2 квартале 2008 года, но не позднее нормативного срока, установленного проектной документацией.</w:t>
      </w:r>
    </w:p>
    <w:p>
      <w:pPr>
        <w:pStyle w:val="Normal"/>
        <w:rPr/>
      </w:pPr>
      <w:r>
        <w:rPr/>
      </w:r>
    </w:p>
    <w:p>
      <w:pPr>
        <w:pStyle w:val="Normal"/>
        <w:rPr/>
      </w:pPr>
      <w:r>
        <w:rPr/>
        <w:t>Вневедомственная экспертиза проектной документации осуществлена, 29.12.2006 г. получено Сводное заключение № 65/6.06-138/8.06. по проекту «Жилой дом со встроено-пристроенными помещениями общественного назначения и подземной автостоянкой по ул. Окулова, 18 в Ленинском районе г. Перми» утверждено Начальником управления государственной вневедомственной экспертизы Пермской области В.А. Полимоновым. Рабочий проект признан отвечающим предъявленным требованиям и рекомендован к утверждению.</w:t>
      </w:r>
    </w:p>
    <w:p>
      <w:pPr>
        <w:pStyle w:val="Normal"/>
        <w:rPr/>
      </w:pPr>
      <w:r>
        <w:rPr/>
      </w:r>
    </w:p>
    <w:p>
      <w:pPr>
        <w:pStyle w:val="Normal"/>
        <w:rPr/>
      </w:pPr>
      <w:r>
        <w:rPr/>
        <w:t>2.2. Разрешение на строительство выдано Администрацией города Перми Департамент планирования и развития территории города Перми от 11.01.2007 г. № RU90303000 – 1/2007, действительно до 11.01.2010 г.</w:t>
      </w:r>
    </w:p>
    <w:p>
      <w:pPr>
        <w:pStyle w:val="Normal"/>
        <w:rPr/>
      </w:pPr>
      <w:r>
        <w:rPr/>
      </w:r>
    </w:p>
    <w:p>
      <w:pPr>
        <w:pStyle w:val="Normal"/>
        <w:rPr/>
      </w:pPr>
      <w:r>
        <w:rPr/>
        <w:t>2.3. Права застройщика на земельный участок. Земельный участок предоставлен ООО «Сатурн-Р» Постановлением Администрации города Перми № 2256 от 02.08.2004 г. в собственность. Кадастровый номер участка 59:01:44 1 0006:0006, площадь 4 159,3 кв.м. Договор № 166-95 купли-продажи земельного участка заключен с Администрацией г. Перми 09.09.2004 г., прошел государственную регистрацию в ПОРП, о чем в Едином государственном реестре прав на недвижимое имущество и сделок с ним 09.12.2004 г. сделана запись регистрации № 59-1-2372004-65.</w:t>
      </w:r>
    </w:p>
    <w:p>
      <w:pPr>
        <w:pStyle w:val="Normal"/>
        <w:rPr/>
      </w:pPr>
      <w:r>
        <w:rPr/>
      </w:r>
    </w:p>
    <w:p>
      <w:pPr>
        <w:pStyle w:val="Normal"/>
        <w:rPr/>
      </w:pPr>
      <w:r>
        <w:rPr/>
        <w:t>2.4. Местоположение. Площадка строительства расположена в Ленинском районе по ул. Окулова , квартал № 6, ограниченного улицами Окулова, Попова, Орджоникидзе, Свердловская. Участок расположен в северной части квартала, вдоль ул. Окулова. Предлагаемая архитектурная концепция застройки района, предусматривающая размещение высотных объектов, получила название «Ворота города». Для благоустройства участка проектом предусмотрены озеленение территории, автоподъезды, автостоянки, тротуары, пешеходные дорожки с асфальтобетонным и плиточным покрытием, площадки для отдыха, детские игровые, хозяйственные площадки расположенные в дворовой части комплекса. Проект границ земельного участка, предоставленного ООО «Сатурн-Р» под жилой дом по ул. Окулова, 18 в квартале № 6 Ленинского района г. Перми, утверждён заместителем Главы города Начальником департамента имущественных отношений Бирюковым В.В. 24.08.2004г.</w:t>
      </w:r>
    </w:p>
    <w:p>
      <w:pPr>
        <w:pStyle w:val="Normal"/>
        <w:rPr/>
      </w:pPr>
      <w:r>
        <w:rPr/>
      </w:r>
    </w:p>
    <w:p>
      <w:pPr>
        <w:pStyle w:val="Normal"/>
        <w:rPr/>
      </w:pPr>
      <w:r>
        <w:rPr/>
        <w:t>2.5. Описание строящегося объекта</w:t>
      </w:r>
    </w:p>
    <w:p>
      <w:pPr>
        <w:pStyle w:val="Normal"/>
        <w:rPr/>
      </w:pPr>
      <w:r>
        <w:rPr/>
      </w:r>
    </w:p>
    <w:p>
      <w:pPr>
        <w:pStyle w:val="Normal"/>
        <w:rPr/>
      </w:pPr>
      <w:r>
        <w:rPr/>
        <w:t>Жилой дом состоит из двух 25-этажных секций, каждая секция имеет прямоугольную форму. В уровне первого этажа восточная секция имеет одноэтажный пристрой. В уровне второго этажа секции объединяются открытой террасой, располагаемой между секциями, а также со стороны северных и восточных фасадов здания. Выступающая часть террасы опирается на колоны и образует в уровне первого этажа крытое дворовое пространство.</w:t>
      </w:r>
    </w:p>
    <w:p>
      <w:pPr>
        <w:pStyle w:val="Normal"/>
        <w:rPr/>
      </w:pPr>
      <w:r>
        <w:rPr/>
      </w:r>
    </w:p>
    <w:p>
      <w:pPr>
        <w:pStyle w:val="Normal"/>
        <w:rPr/>
      </w:pPr>
      <w:r>
        <w:rPr/>
        <w:t>На первом и втором этажах жилого дома запроектированы встроено-пристроенные помещения общественного назначения. Жилые квартиры располагаются на 22-х этажах зданий, с 3-го по 12-ый и с 14-го по 25-ый. 13 этаж - технический, где размещаются инженерные сети здания. В уровне 17, 20, 22, 24 этажей, а также в уровне технического чердака, в районе лестничных клеток, секции соединяются открытыми переходами шириной 12 м.</w:t>
      </w:r>
    </w:p>
    <w:p>
      <w:pPr>
        <w:pStyle w:val="Normal"/>
        <w:rPr/>
      </w:pPr>
      <w:r>
        <w:rPr/>
      </w:r>
    </w:p>
    <w:p>
      <w:pPr>
        <w:pStyle w:val="Normal"/>
        <w:rPr/>
      </w:pPr>
      <w:r>
        <w:rPr/>
        <w:t xml:space="preserve">Под зданиями и за его пределами будет располагаться подземная двухуровневая автостоянка на 198 машиномест, по 99 мест на каждом уровне. </w:t>
      </w:r>
    </w:p>
    <w:p>
      <w:pPr>
        <w:pStyle w:val="Normal"/>
        <w:rPr/>
      </w:pPr>
      <w:r>
        <w:rPr/>
      </w:r>
    </w:p>
    <w:p>
      <w:pPr>
        <w:pStyle w:val="Normal"/>
        <w:rPr/>
      </w:pPr>
      <w:r>
        <w:rPr/>
        <w:t>2.6. Характеристики объекта</w:t>
      </w:r>
    </w:p>
    <w:p>
      <w:pPr>
        <w:pStyle w:val="Normal"/>
        <w:rPr/>
      </w:pPr>
      <w:r>
        <w:rPr/>
      </w:r>
    </w:p>
    <w:p>
      <w:pPr>
        <w:pStyle w:val="Normal"/>
        <w:rPr/>
      </w:pPr>
      <w:r>
        <w:rPr/>
        <w:t xml:space="preserve">- Этажность –25 эт. </w:t>
      </w:r>
    </w:p>
    <w:p>
      <w:pPr>
        <w:pStyle w:val="Normal"/>
        <w:rPr/>
      </w:pPr>
      <w:r>
        <w:rPr/>
      </w:r>
    </w:p>
    <w:p>
      <w:pPr>
        <w:pStyle w:val="Normal"/>
        <w:rPr/>
      </w:pPr>
      <w:r>
        <w:rPr/>
        <w:t xml:space="preserve">- Площадь застройки – 2 350 кв.м. </w:t>
      </w:r>
    </w:p>
    <w:p>
      <w:pPr>
        <w:pStyle w:val="Normal"/>
        <w:rPr/>
      </w:pPr>
      <w:r>
        <w:rPr/>
      </w:r>
    </w:p>
    <w:p>
      <w:pPr>
        <w:pStyle w:val="Normal"/>
        <w:rPr/>
      </w:pPr>
      <w:r>
        <w:rPr/>
        <w:t xml:space="preserve">- Строительный объём – 135 000 куб.м. </w:t>
      </w:r>
    </w:p>
    <w:p>
      <w:pPr>
        <w:pStyle w:val="Normal"/>
        <w:rPr/>
      </w:pPr>
      <w:r>
        <w:rPr/>
      </w:r>
    </w:p>
    <w:p>
      <w:pPr>
        <w:pStyle w:val="Normal"/>
        <w:rPr/>
      </w:pPr>
      <w:r>
        <w:rPr/>
        <w:t xml:space="preserve">- В том числе, ниже 0,000 – 25 000 куб.м. </w:t>
      </w:r>
    </w:p>
    <w:p>
      <w:pPr>
        <w:pStyle w:val="Normal"/>
        <w:rPr/>
      </w:pPr>
      <w:r>
        <w:rPr/>
      </w:r>
    </w:p>
    <w:p>
      <w:pPr>
        <w:pStyle w:val="Normal"/>
        <w:rPr/>
      </w:pPr>
      <w:r>
        <w:rPr/>
        <w:t xml:space="preserve">- Общая площадь жилого здания – 30 000 ( 15 000*2) кв.м. </w:t>
      </w:r>
    </w:p>
    <w:p>
      <w:pPr>
        <w:pStyle w:val="Normal"/>
        <w:rPr/>
      </w:pPr>
      <w:r>
        <w:rPr/>
      </w:r>
    </w:p>
    <w:p>
      <w:pPr>
        <w:pStyle w:val="Normal"/>
        <w:rPr/>
      </w:pPr>
      <w:r>
        <w:rPr/>
        <w:t xml:space="preserve">- В том числе: общая площадь подземной стоянки– 7 500 кв.м. </w:t>
      </w:r>
    </w:p>
    <w:p>
      <w:pPr>
        <w:pStyle w:val="Normal"/>
        <w:rPr/>
      </w:pPr>
      <w:r>
        <w:rPr/>
      </w:r>
    </w:p>
    <w:p>
      <w:pPr>
        <w:pStyle w:val="Normal"/>
        <w:rPr/>
      </w:pPr>
      <w:r>
        <w:rPr/>
        <w:t xml:space="preserve">- общая площадь квартир– 24 000 ( 12 000*2) кв.м. </w:t>
      </w:r>
    </w:p>
    <w:p>
      <w:pPr>
        <w:pStyle w:val="Normal"/>
        <w:rPr/>
      </w:pPr>
      <w:r>
        <w:rPr/>
      </w:r>
    </w:p>
    <w:p>
      <w:pPr>
        <w:pStyle w:val="Normal"/>
        <w:rPr/>
      </w:pPr>
      <w:r>
        <w:rPr/>
        <w:t xml:space="preserve">- площадь квартир – 22 500 ( 11 250*2) кв.м. </w:t>
      </w:r>
    </w:p>
    <w:p>
      <w:pPr>
        <w:pStyle w:val="Normal"/>
        <w:rPr/>
      </w:pPr>
      <w:r>
        <w:rPr/>
      </w:r>
    </w:p>
    <w:p>
      <w:pPr>
        <w:pStyle w:val="Normal"/>
        <w:rPr/>
      </w:pPr>
      <w:r>
        <w:rPr/>
        <w:t>- помещения общественного назначения – 2 000 ( 900 + 1 100) кв.м.</w:t>
      </w:r>
    </w:p>
    <w:p>
      <w:pPr>
        <w:pStyle w:val="Normal"/>
        <w:rPr/>
      </w:pPr>
      <w:r>
        <w:rPr/>
      </w:r>
    </w:p>
    <w:p>
      <w:pPr>
        <w:pStyle w:val="Normal"/>
        <w:rPr/>
      </w:pPr>
      <w:r>
        <w:rPr/>
        <w:t>2.7. Основные конструкции здания</w:t>
      </w:r>
    </w:p>
    <w:p>
      <w:pPr>
        <w:pStyle w:val="Normal"/>
        <w:rPr/>
      </w:pPr>
      <w:r>
        <w:rPr/>
      </w:r>
    </w:p>
    <w:p>
      <w:pPr>
        <w:pStyle w:val="Normal"/>
        <w:rPr/>
      </w:pPr>
      <w:r>
        <w:rPr/>
        <w:t>Фундаменты - монолитные железобетонные на естественном основании. Наружные стены – блоки из ячеистого бетона с наружным утеплением и наружным защитным слоем из декоративных плит по металлическому каркасу ( система вентилируемого фасада).</w:t>
      </w:r>
    </w:p>
    <w:p>
      <w:pPr>
        <w:pStyle w:val="Normal"/>
        <w:rPr/>
      </w:pPr>
      <w:r>
        <w:rPr/>
      </w:r>
    </w:p>
    <w:p>
      <w:pPr>
        <w:pStyle w:val="Normal"/>
        <w:rPr/>
      </w:pPr>
      <w:r>
        <w:rPr/>
        <w:t>Железобетонный каркас здания – монолитные железобетонные колонны, вертикальные диафрагмы жесткости, междуэтажные перекрытия - монолитные железобетонные плиты. Внутренние стены и перегородки - блоки из ячеистого бетона.</w:t>
      </w:r>
    </w:p>
    <w:p>
      <w:pPr>
        <w:pStyle w:val="Normal"/>
        <w:rPr/>
      </w:pPr>
      <w:r>
        <w:rPr/>
      </w:r>
    </w:p>
    <w:p>
      <w:pPr>
        <w:pStyle w:val="Normal"/>
        <w:rPr/>
      </w:pPr>
      <w:r>
        <w:rPr/>
        <w:t>Кровля – плоская рулонная с внутренним водостоком. Окна – с тройным остеклением. Балконы и лоджии остекленные - алюминиевые витражи. В каждой секции жилого дома четыре лифта (два лифта грузоподъемностью 400 и два лифта 630 кг), мусоропровод и незадымляемая лестничная клетка.</w:t>
      </w:r>
    </w:p>
    <w:p>
      <w:pPr>
        <w:pStyle w:val="Normal"/>
        <w:rPr/>
      </w:pPr>
      <w:r>
        <w:rPr/>
      </w:r>
    </w:p>
    <w:p>
      <w:pPr>
        <w:pStyle w:val="Normal"/>
        <w:rPr/>
      </w:pPr>
      <w:r>
        <w:rPr/>
        <w:t>2.8. Функциональное назначение нежилых помещений.</w:t>
      </w:r>
    </w:p>
    <w:p>
      <w:pPr>
        <w:pStyle w:val="Normal"/>
        <w:rPr/>
      </w:pPr>
      <w:r>
        <w:rPr/>
      </w:r>
    </w:p>
    <w:p>
      <w:pPr>
        <w:pStyle w:val="Normal"/>
        <w:rPr/>
      </w:pPr>
      <w:r>
        <w:rPr/>
        <w:t>- На первом этаже одной из секций запроектирован физкультурно-оздоровительный центр и косметический салон с парикмахерской. На первом этаже второй секции запроектирован досуговый центр.</w:t>
      </w:r>
    </w:p>
    <w:p>
      <w:pPr>
        <w:pStyle w:val="Normal"/>
        <w:rPr/>
      </w:pPr>
      <w:r>
        <w:rPr/>
      </w:r>
    </w:p>
    <w:p>
      <w:pPr>
        <w:pStyle w:val="Normal"/>
        <w:rPr/>
      </w:pPr>
      <w:r>
        <w:rPr/>
        <w:t>- На первых этажах секций, рядом с лестнично-лифтовыми группами, предусмотрены помещения для охраны с санузлами, диспетчерский пункт и технические помещения.</w:t>
      </w:r>
    </w:p>
    <w:p>
      <w:pPr>
        <w:pStyle w:val="Normal"/>
        <w:rPr/>
      </w:pPr>
      <w:r>
        <w:rPr/>
      </w:r>
    </w:p>
    <w:p>
      <w:pPr>
        <w:pStyle w:val="Normal"/>
        <w:rPr/>
      </w:pPr>
      <w:r>
        <w:rPr/>
        <w:t>2.9. Состав общего имущества, которое будет находиться в общей долевой собственности участников долевого строительства после получения разрешения на ввод в эксплуатацию: межквартирные лестничные площадки, лестницы, лифты, лифтовые шахты, помещения входных групп подъезда, помещение для охраны с санузлом, мусоропровод, технические помещения ( узлы управления, индивидуальный тепловой пункт, насосная, электрощитовая, венткамера). А также иное механическое, электрическое, санитарно-техническое оборудование, находящееся в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p>
    <w:p>
      <w:pPr>
        <w:pStyle w:val="Normal"/>
        <w:rPr/>
      </w:pPr>
      <w:r>
        <w:rPr/>
      </w:r>
    </w:p>
    <w:p>
      <w:pPr>
        <w:pStyle w:val="Normal"/>
        <w:rPr/>
      </w:pPr>
      <w:r>
        <w:rPr/>
        <w:t>2.10.Предполагаемый срок получения разрешения на ввод объекта в эксплуатацию 2 квартал 2008 г. Орган, участвующий в приёмке объекта: Государственный архитектурно-строительный надзор.</w:t>
      </w:r>
    </w:p>
    <w:p>
      <w:pPr>
        <w:pStyle w:val="Normal"/>
        <w:rPr/>
      </w:pPr>
      <w:r>
        <w:rPr/>
      </w:r>
    </w:p>
    <w:p>
      <w:pPr>
        <w:pStyle w:val="Normal"/>
        <w:rPr/>
      </w:pPr>
      <w:r>
        <w:rPr/>
        <w:t>2.11. Договоры по страхованию Застройщиком возможных финансовых и прочих рисков при осуществлении проекта строительства на момент опубликования проектной декларации не заключены. Планируемая стоимость строительства 750 000 тыс.руб.</w:t>
      </w:r>
    </w:p>
    <w:p>
      <w:pPr>
        <w:pStyle w:val="Normal"/>
        <w:rPr/>
      </w:pPr>
      <w:r>
        <w:rPr/>
      </w:r>
    </w:p>
    <w:p>
      <w:pPr>
        <w:pStyle w:val="Normal"/>
        <w:rPr/>
      </w:pPr>
      <w:r>
        <w:rPr/>
        <w:t>2.12. Подрядчики</w:t>
      </w:r>
    </w:p>
    <w:p>
      <w:pPr>
        <w:pStyle w:val="Normal"/>
        <w:rPr/>
      </w:pPr>
      <w:r>
        <w:rPr/>
      </w:r>
    </w:p>
    <w:p>
      <w:pPr>
        <w:pStyle w:val="Normal"/>
        <w:rPr/>
      </w:pPr>
      <w:r>
        <w:rPr/>
        <w:t>Генеральным подрядчиком строительства выступает ООО «Сатурн-Р».</w:t>
      </w:r>
    </w:p>
    <w:p>
      <w:pPr>
        <w:pStyle w:val="Normal"/>
        <w:rPr/>
      </w:pPr>
      <w:r>
        <w:rPr/>
      </w:r>
    </w:p>
    <w:p>
      <w:pPr>
        <w:pStyle w:val="Normal"/>
        <w:rPr/>
      </w:pPr>
      <w:r>
        <w:rPr/>
        <w:t xml:space="preserve">Субподрядные организации: </w:t>
      </w:r>
    </w:p>
    <w:p>
      <w:pPr>
        <w:pStyle w:val="Normal"/>
        <w:rPr/>
      </w:pPr>
      <w:r>
        <w:rPr/>
      </w:r>
    </w:p>
    <w:p>
      <w:pPr>
        <w:pStyle w:val="Normal"/>
        <w:rPr/>
      </w:pPr>
      <w:r>
        <w:rPr/>
        <w:t>ООО «Спрут-ПМ» - Монтаж пожарной сигнализации и пожаротушения; ООО «Спарго» - Озеленение</w:t>
      </w:r>
    </w:p>
    <w:p>
      <w:pPr>
        <w:pStyle w:val="Normal"/>
        <w:rPr/>
      </w:pPr>
      <w:r>
        <w:rPr/>
        <w:t xml:space="preserve">ООО «Союзлифтмонтаж» - Поставка и монтаж лифтов; </w:t>
      </w:r>
    </w:p>
    <w:p>
      <w:pPr>
        <w:pStyle w:val="Normal"/>
        <w:rPr/>
      </w:pPr>
      <w:r>
        <w:rPr/>
        <w:t xml:space="preserve">ООО «ЭКОЛиС-СТРОЙ» - Устройство кровли; </w:t>
      </w:r>
    </w:p>
    <w:p>
      <w:pPr>
        <w:pStyle w:val="Normal"/>
        <w:rPr/>
      </w:pPr>
      <w:r>
        <w:rPr/>
        <w:t xml:space="preserve">ООО «Спецстрой» - Строительство наружных сетей водопровода и канализации; </w:t>
      </w:r>
    </w:p>
    <w:p>
      <w:pPr>
        <w:pStyle w:val="Normal"/>
        <w:rPr/>
      </w:pPr>
      <w:r>
        <w:rPr/>
        <w:t xml:space="preserve">ООО «Астроком» - Сети связи; </w:t>
      </w:r>
    </w:p>
    <w:p>
      <w:pPr>
        <w:pStyle w:val="Normal"/>
        <w:rPr/>
      </w:pPr>
      <w:r>
        <w:rPr/>
        <w:t xml:space="preserve">ООО «Дорстройтранс» - Благоустройство; </w:t>
      </w:r>
    </w:p>
    <w:p>
      <w:pPr>
        <w:pStyle w:val="Normal"/>
        <w:rPr/>
      </w:pPr>
      <w:r>
        <w:rPr/>
      </w:r>
    </w:p>
    <w:p>
      <w:pPr>
        <w:pStyle w:val="Normal"/>
        <w:rPr/>
      </w:pPr>
      <w:r>
        <w:rPr/>
        <w:t>Директор по строительству ООО «Сатурн-Р» Кирюхин Н.А.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Arial Unicode MS"/>
      <w:color w:val="auto"/>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LibreOffice/5.2.2.2$Windows_X86_64 LibreOffice_project/8f96e87c890bf8fa77463cd4b640a2312823f3ad</Application>
  <Pages>4</Pages>
  <Words>1264</Words>
  <Characters>8897</Characters>
  <CharactersWithSpaces>10138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2016-12-14T23:36:39Z</dcterms:created>
  <dc:creator/>
  <dc:description/>
  <dc:language>ru-RU</dc:language>
  <cp:lastModifiedBy/>
  <dcterms:modified xsi:type="dcterms:W3CDTF">2016-12-14T23:37:19Z</dcterms:modified>
  <cp:revision>1</cp:revision>
  <dc:subject/>
  <dc:title/>
</cp:coreProperties>
</file>